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компьютерного права</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информационного права и цифровых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стремительно трансформируется под влиянием цифровых технологий, что неизбежно влечёт за собой необходимость адаптации правовых норм к новым реалиям. Компьютерное право, как динамично развивающаяся отрасль юридической науки, охватывает широкий спектр вопросов, связанных с регулированием информационных технологий, защиты данных, кибербезопасности, интеллектуальной собственности в цифровой среде, а также ответственности за правонарушения в виртуальном пространстве. Актуальность данной темы обусловлена глобализацией цифровых процессов, увеличением числа киберпреступлений, необходимостью обеспечения конфиденциальности персональных данных и развитием искусственного интеллекта, который ставит перед правовой системой принципиально новые вызовы.  
В условиях цифровизации традиционные правовые механизмы зачастую оказываются неэффективными, что требует разработки современных методов компьютерного права, способных адекватно реагировать на технологические изменения. К числу таких методов относятся автоматизированный анализ правовых документов с использованием искусственного интеллекта, блокчейн-технологии для обеспечения прозрачности и неизменности юридически значимых данных, алгоритмы машинного обучения для прогнозирования судебных решений, а также методы криптографии для защиты цифровых транзакций. Кроме того, особое значение приобретают международные стандарты и соглашения в области киберправа, поскольку цифровые технологии не признают государственных границ, а киберпреступность носит транснациональный характер.  
Целью данного реферата является комплексный анализ современных методов компьютерного права, их классификация, оценка эффективности и перспектив дальнейшего развития. В рамках исследования рассматриваются как теоретические аспекты, включая доктринальные подходы к определению компьютерного права, так и практические инструменты, применяемые в правоприменительной деятельности. Особое внимание уделяется вопросам гармонизации национального и международного законодательства, а также этико-правовым дилеммам, возникающим в связи с использованием передовых технологий.  
Научная новизна работы заключается в систематизации актуальных методов компьютерного права с учётом последних технологических достижений, а также в критическом осмыслении их роли в формировании устойчивой правовой среды цифровой эпохи. Исследование базируется на анализе нормативно-правовых актов, научных публикаций, судебной практики и международных стандартов, что позволяет сделать выводы о тенденциях развития данной отрасли права и предложить рекомендации по её совершенствованию.</w:t>
      </w:r>
    </w:p>
    <w:p>
      <w:pPr>
        <w:pStyle w:val="Heading1"/>
        <w:pageBreakBefore/>
        <w:spacing w:line="360" w:before="0" w:after="0"/>
        <w:jc w:val="center"/>
      </w:pPr>
      <w:r>
        <w:t xml:space="preserve">ПРАВОВЫЕ ОСНОВЫ КОМПЬЮТЕРНОГО ПРАВА</w:t>
      </w:r>
    </w:p>
    <w:p>
      <w:pPr>
        <w:spacing w:line="360" w:before="0" w:after="0"/>
        <w:ind w:firstLine="720"/>
        <w:jc w:val="both"/>
      </w:pPr>
      <w:r>
        <w:t xml:space="preserve">Компьютерное право как отрасль юридической науки и практики формируется под влиянием стремительного развития информационных технологий, что обусловливает необходимость системного анализа его правовых основ. В условиях цифровизации общественных отношений особую значимость приобретают вопросы регулирования киберпространства, защиты данных, интеллектуальной собственности и кибербезопасности. Правовые основы компьютерного права базируются на международных, региональных и национальных нормативно-правовых актах, которые определяют принципы и механизмы правового регулирования в данной сфере.  
Международное право играет ключевую роль в формировании унифицированных стандартов компьютерного права. Конвенция о киберпреступности (Будапештская конвенция) 2001 года является основополагающим документом, устанавливающим правовые рамки противодействия преступлениям в сфере информационных технологий. Другим важным актом является Общий регламент по защите данных (GDPR) Европейского союза, который закрепляет принципы обработки персональных данных и обеспечивает их защиту на трансграничном уровне. Эти документы создают основу для гармонизации законодательства различных государств в области цифровых правоотношений.  
На национальном уровне правовые основы компьютерного права формируются через систему законов и подзаконных актов, регулирующих вопросы информационной безопасности, электронного документооборота, авторского права в цифровой среде. В Российской Федерации ключевыми нормативными актами являются Федеральный закон "Об информации, информационных технологиях и о защите информации", Федеральный закон "О персональных данных", а также положения Гражданского и Уголовного кодексов, касающиеся ответственности за правонарушения в киберпространстве. Аналогичные правовые системы существуют в других странах, что подчеркивает глобальный характер регулирования компьютерного права.  
Особое внимание в правовых основах компьютерного права уделяется вопросам интеллектуальной собственности. Цифровая среда создает новые вызовы в области защиты авторских прав, патентов и товарных знаков, что требует адаптации традиционных правовых механизмов. Законодательство многих стран включает нормы, регулирующие использование программного обеспечения, баз данных и цифрового контента, а также устанавливающие ответственность за их незаконное распространение.  
Кибербезопасность является еще одним важным аспектом правовых основ компьютерного права. Современные угрозы, такие как кибератаки, фишинг и распространение вредоносного программного обеспечения, требуют разработки эффективных правовых мер противодействия. Национальные стратегии кибербезопасности, такие как утвержденная в РФ "Доктрина информационной безопасности", определяют приоритеты защиты критической информационной инфраструктуры и персональных данных граждан.  
Таким образом, правовые основы компьютерного права представляют собой сложную систему международных и национальных нормативных актов, направленных на регулирование цифровых правоотношений. Их развитие обусловлено необходимостью обеспечения баланса между технологическим прогрессом и защитой прав субъектов киберпространства. Дальнейшее совершенствование законодательства в этой области будет способствовать созданию устойчивой правовой среды для цифровой экономики и информационного общества.</w:t>
      </w:r>
    </w:p>
    <w:p>
      <w:pPr>
        <w:pStyle w:val="Heading1"/>
        <w:pageBreakBefore/>
        <w:spacing w:line="360" w:before="0" w:after="0"/>
        <w:jc w:val="center"/>
      </w:pPr>
      <w:r>
        <w:t xml:space="preserve">ТЕХНИЧЕСКИЕ МЕТОДЫ ЗАЩИТЫ ЦИФРОВЫХ ДАННЫХ</w:t>
      </w:r>
    </w:p>
    <w:p>
      <w:pPr>
        <w:spacing w:line="360" w:before="0" w:after="0"/>
        <w:ind w:firstLine="720"/>
        <w:jc w:val="both"/>
      </w:pPr>
      <w:r>
        <w:t xml:space="preserve">В условиях стремительного развития цифровых технологий и роста киберпреступности технические методы защиты цифровых данных приобретают ключевое значение для обеспечения информационной безопасности. Современные подходы к защите данных базируются на комплексном применении криптографических алгоритмов, биометрической аутентификации, систем обнаружения вторжений и других технологий, направленных на минимизацию рисков несанкционированного доступа.  
Криптографические методы остаются фундаментальным инструментом защиты информации. Симметричное шифрование, основанное на использовании единого ключа для зашифровки и расшифровки данных, обеспечивает высокую скорость обработки, однако требует надежных механизмов распределения ключей. Асимметричная криптография, напротив, использует пару ключей (публичный и приватный), что исключает необходимость передачи секретного ключа, но характеризуется меньшей производительностью. Современные гибридные системы сочетают преимущества обоих подходов, применяя асимметричные алгоритмы для обмена ключами и симметричные – для шифрования данных.  
Биометрическая аутентификация представляет собой перспективное направление, основанное на уникальных физиологических или поведенческих характеристиках пользователя. Распознавание отпечатков пальцев, радужной оболочки глаза, голоса или динамики набора текста позволяет существенно повысить уровень безопасности по сравнению с традиционными паролями. Однако данный метод требует тщательной настройки систем для минимизации ложных срабатываний и защиты от спуфинговых атак, направленных на подделку биометрических данных.  
Системы обнаружения вторжений (IDS) и предотвращения вторжений (IPS) играют важную роль в выявлении и блокировании кибератак. Сетевые IDS анализируют трафик на предмет аномалий, сигнализируя о потенциальных угрозах, в то время как хостовые IDS контролируют активность на конкретных устройствах. Преимущество современных систем заключается в использовании машинного обучения, позволяющего адаптироваться к новым типам атак и снижать количество ложных срабатываний.  
Технологии блокчейна также находят применение в защите цифровых данных, обеспечивая неизменность и прозрачность транзакций. Децентрализованный характер распределенных реестров исключает возможность несанкционированного изменения информации, что особенно актуально для финансовых операций и систем цифровой идентификации.  
Перспективным направлением является разработка квантово-устойчивых криптографических алгоритмов, способных противостоять угрозам, связанным с появлением квантовых компьютеров. Уже сегодня ведутся исследования в области постквантовой криптографии, направленные на создание методов шифрования, устойчивых к взлому с использованием квантовых вычислений.  
Таким образом, современные технические методы защиты цифровых данных представляют собой многоуровневую систему, сочетающую криптографию, биометрию, системы мониторинга и инновационные технологии. Их дальнейшее развитие требует междисциплинарного подхода, учитывающего как технологические аспекты, так и правовые нормы, регулирующие сферу информационной безопасности.</w:t>
      </w:r>
    </w:p>
    <w:p>
      <w:pPr>
        <w:pStyle w:val="Heading1"/>
        <w:pageBreakBefore/>
        <w:spacing w:line="360" w:before="0" w:after="0"/>
        <w:jc w:val="center"/>
      </w:pPr>
      <w:r>
        <w:t xml:space="preserve">ЮРИДИЧЕСКАЯ ОТВЕТСТВЕННОСТЬ В СФЕРЕ КИБЕРПРЕСТУПЛЕНИЙ</w:t>
      </w:r>
    </w:p>
    <w:p>
      <w:pPr>
        <w:spacing w:line="360" w:before="0" w:after="0"/>
        <w:ind w:firstLine="720"/>
        <w:jc w:val="both"/>
      </w:pPr>
      <w:r>
        <w:t xml:space="preserve">представляет собой комплекс мер правового воздействия, направленных на предупреждение, пресечение и наказание противоправных деяний, совершаемых с использованием информационно-телекоммуникационных технологий. В условиях цифровой трансформации общественных отношений киберпреступность приобретает новые формы, что требует адаптации существующих правовых механизмов. Современное законодательство различных стран предусматривает широкий спектр санкций за совершение киберпреступлений, включая уголовную, административную и гражданско-правовую ответственность.  
Уголовная ответственность за киберпреступления является наиболее строгой формой правового реагирования. В большинстве государств уголовные кодексы содержат специальные нормы, криминализирующие несанкционированный доступ к компьютерным системам (хакерство), распространение вредоносного программного обеспечения, кражу персональных данных, кибертерроризм и иные противоправные действия в цифровой среде. Например, в соответствии со статьёй 272 Уголовного кодекса Российской Федерации, неправомерный доступ к охраняемой компьютерной информации, повлёкший её уничтожение, блокирование или модификацию, наказывается лишением свободы на срок до семи лет. Аналогичные нормы содержатся в законодательстве США (Computer Fraud and Abuse Act), стран Европейского союза (Директива 2013/40/EU) и других юрисдикций.  
Административная ответственность применяется за менее опасные правонарушения в сфере информационной безопасности, такие как нарушение правил обработки персональных данных, несоблюдение требований к защите критической инфраструктуры или непредставление сведений о киберинцидентах. В рамках административного производства могут налагаться штрафы, приостанавливаться деятельность организаций или вводиться иные ограничительные меры. Например, согласно Общему регламенту по защите данных (GDPR) Европейского союза, компании, допустившие утечку персональных данных, могут быть оштрафованы на сумму до 4% от их глобального годового оборота.  
Гражданско-правовая ответственность в сфере киберпреступлений связана с возмещением ущерба, причинённого потерпевшим. Пострадавшие вправе требовать компенсации материального и морального вреда через судебные инстанции. Особое значение имеет вопрос доказывания причинно-следственной связи между действиями злоумышленника и наступившими последствиями, что осложняется анонимностью и трансграничным характером киберпреступлений. В ряде случаев применяются механизмы коллективных исков, позволяющие объединять требования множества потерпевших.  
Важным аспектом юридической ответственности в киберпространстве является экстратерриториальность: преступники часто действуют из юрисдикций, не сотрудничающих с правоохранительными органами других стран. Это обуславливает необходимость международного сотрудничества в области противодействия киберпреступности, включая взаимную правовую помощь, выдачу преступников и гармонизацию законодательств. Конвенция о киберпреступности Совета Европы (Будапештская конвенция) служит ключевым международным документом, устанавливающим стандарты уголовного преследования за компьютерные преступления.  
Таким образом, юридическая ответственность за киберпреступления представляет собой многоуровневую систему, сочетающую национальные и международные правовые инструменты. Эффективность её применения зависит от совершенствования законодательства, развития цифровой криминалистики и укрепления межгосударственного взаимодействия. В условиях постоянной эволюции киберугроз требуется дальнейшая разработка гибких правовых механизмов, способных оперативно реагировать на новые вызовы цифровой эпохи.</w:t>
      </w:r>
    </w:p>
    <w:p>
      <w:pPr>
        <w:pStyle w:val="Heading1"/>
        <w:pageBreakBefore/>
        <w:spacing w:line="360" w:before="0" w:after="0"/>
        <w:jc w:val="center"/>
      </w:pPr>
      <w:r>
        <w:t xml:space="preserve">МЕЖДУНАРОДНОЕ СОТРУДНИЧЕСТВО В ОБЛАСТИ КОМПЬЮТЕРНОГО ПРАВА</w:t>
      </w:r>
    </w:p>
    <w:p>
      <w:pPr>
        <w:spacing w:line="360" w:before="0" w:after="0"/>
        <w:ind w:firstLine="720"/>
        <w:jc w:val="both"/>
      </w:pPr>
      <w:r>
        <w:t xml:space="preserve">приобретает особую значимость в условиях глобализации цифрового пространства. Развитие информационных технологий и трансграничный характер киберпреступности обуславливают необходимость выработки унифицированных правовых механизмов, способных эффективно регулировать цифровую среду. Основными направлениями международного взаимодействия являются гармонизация законодательства, создание межгосударственных органов по борьбе с киберпреступностью и разработка конвенций, устанавливающих единые стандарты защиты данных.  
Важнейшим документом, заложившим основы международного сотрудничества, стала Конвенция о киберпреступности, принятая Советом Европы в 2001 году (Будапештская конвенция). Данный акт не только определил перечень противоправных деяний в цифровой сфере, но и установил процедуры взаимодействия правоохранительных органов разных стран. Несмотря на критику со стороны некоторых государств, обвиняющих документ в избыточной ориентации на интересы западных стран, конвенция остается ключевым инструментом противодействия киберпреступлениям.  
Помимо региональных инициатив, значительную роль играют организации глобального уровня, такие как Интерпол и ООН. В 2010 году Интерпол учредил Глобальный центр по борьбе с киберпреступностью, координирующий расследования и обмен оперативной информацией между странами. ООН, в свою очередь, способствует разработке международных норм через Группу правительственных экспертов по вопросам кибербезопасности. Однако отсутствие консенсуса между государствами по вопросам цифрового суверенитета и юрисдикции замедляет процесс принятия всеобъемлющих соглашений.  
Особого внимания заслуживает проблема экстерриториальности данных. Различия в национальных законодательствах о персональных данных (например, GDPR в ЕС и CLOUD Act в США) создают конфликты юрисдикций. Для их разрешения предлагаются модели, основанные на взаимном признании правовых норм или создании наднациональных органов. Примером успешного взаимодействия может служить соглашение между США и ЕС Privacy Shield, хотя его отмена в 2020 году продемонстрировала хрупкость подобных договоренностей.  
Перспективным направлением является развитие международного soft law в форме рекомендаций и модельных законов. Такие документы, разрабатываемые организациями вроде ЮНСИТРАЛ или ИСО, позволяют странам адаптировать передовые практики без жестких обязательств. В частности, Руководящие принципы по защите персональных данных ОЭСР стали основой для многих национальных законов.  
Таким образом, международное сотрудничество в сфере компьютерного права остается динамично развивающейся областью, требующей баланса между унификацией норм и учетом национальных особенностей. Дальнейшая интеграция правовых систем и усиление роли международных институтов будут ключевыми факторами в формировании устойчивого правового режима для цифровой эпохи.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компьютерного права представляют собой динамично развивающуюся систему правовых норм, направленных на регулирование цифровых отношений в условиях стремительного технологического прогресса. Анализ существующих подходов позволяет сделать вывод о необходимости комплексного решения проблем, связанных с киберпреступностью, защитой персональных данных, интеллектуальной собственностью в цифровой среде, а также правовым статусом искусственного интеллекта и блокчейн-технологий.  
Особое значение приобретает гармонизация национальных законодательств с международными стандартами, что обусловлено трансграничным характером цифровых взаимодействий. Разработка унифицированных правовых механизмов, таких как Конвенция Совета Европы о киберпреступности (Будапештская конвенция), демонстрирует попытки глобального сообщества создать эффективные инструменты противодействия новым вызовам. Вместе с тем остаются актуальными вопросы адаптации традиционных правовых институтов к специфике виртуального пространства, включая проблемы юрисдикции, электронного документооборота и цифровой идентификации.  
Перспективными направлениями развития компьютерного права являются внедрение технологий смарт-контрактов, совершенствование методов цифровой криминалистики, а также формирование этико-правовых рамок использования алгоритмов машинного обучения. Не менее важным представляется укрепление международного сотрудничества в сфере кибербезопасности и выработка единых критериев ответственности за правонарушения в цифровой среде.  
Таким образом, дальнейшее совершенствование методов компьютерного права требует междисциплинарного подхода, сочетающего юридические, технические и этические аспекты. Только при условии синхронизации законодательных инициатив с технологическими инновациями возможно обеспечение устойчивого правопорядка в условиях цифровой трансформации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Lessig, Lawrence. Code and Other Laws of Cyberspace. 2006 (book)</w:t>
      </w:r>
    </w:p>
    <w:p>
      <w:pPr>
        <w:spacing w:line="360" w:before="0" w:after="0"/>
        <w:ind w:firstLine="720"/>
        <w:jc w:val="both"/>
      </w:pPr>
      <w:r>
        <w:t xml:space="preserve">2. Reed, Chris. Making Laws for Cyberspace. 2012 (book)</w:t>
      </w:r>
    </w:p>
    <w:p>
      <w:pPr>
        <w:spacing w:line="360" w:before="0" w:after="0"/>
        <w:ind w:firstLine="720"/>
        <w:jc w:val="both"/>
      </w:pPr>
      <w:r>
        <w:t xml:space="preserve">3. Solum, Lawrence B.. The Future of Internet Law. 2015 (article)</w:t>
      </w:r>
    </w:p>
    <w:p>
      <w:pPr>
        <w:spacing w:line="360" w:before="0" w:after="0"/>
        <w:ind w:firstLine="720"/>
        <w:jc w:val="both"/>
      </w:pPr>
      <w:r>
        <w:t xml:space="preserve">4. Grimmelmann, James. Internet Law: Cases and Problems. 2020 (book)</w:t>
      </w:r>
    </w:p>
    <w:p>
      <w:pPr>
        <w:spacing w:line="360" w:before="0" w:after="0"/>
        <w:ind w:firstLine="720"/>
        <w:jc w:val="both"/>
      </w:pPr>
      <w:r>
        <w:t xml:space="preserve">5. Zittrain, Jonathan. The Future of the Internet and How to Stop It. 2008 (book)</w:t>
      </w:r>
    </w:p>
    <w:p>
      <w:pPr>
        <w:spacing w:line="360" w:before="0" w:after="0"/>
        <w:ind w:firstLine="720"/>
        <w:jc w:val="both"/>
      </w:pPr>
      <w:r>
        <w:t xml:space="preserve">6. Wu, Tim. The Master Switch: The Rise and Fall of Information Empires. 2010 (book)</w:t>
      </w:r>
    </w:p>
    <w:p>
      <w:pPr>
        <w:spacing w:line="360" w:before="0" w:after="0"/>
        <w:ind w:firstLine="720"/>
        <w:jc w:val="both"/>
      </w:pPr>
      <w:r>
        <w:t xml:space="preserve">7. Bambauer, Derek E.. Cybersieves. 2019 (article)</w:t>
      </w:r>
    </w:p>
    <w:p>
      <w:pPr>
        <w:spacing w:line="360" w:before="0" w:after="0"/>
        <w:ind w:firstLine="720"/>
        <w:jc w:val="both"/>
      </w:pPr>
      <w:r>
        <w:t xml:space="preserve">8. European Union Agency for Cybersecurity (ENISA). Legal Aspects of Cybersecurity. 2021 (internet-resource)</w:t>
      </w:r>
    </w:p>
    <w:p>
      <w:pPr>
        <w:spacing w:line="360" w:before="0" w:after="0"/>
        <w:ind w:firstLine="720"/>
        <w:jc w:val="both"/>
      </w:pPr>
      <w:r>
        <w:t xml:space="preserve">9. Kerr, Orin S.. The Fourth Amendment and the Global Internet. 2017 (article)</w:t>
      </w:r>
    </w:p>
    <w:p>
      <w:pPr>
        <w:spacing w:line="360" w:before="0" w:after="0"/>
        <w:ind w:firstLine="720"/>
        <w:jc w:val="both"/>
      </w:pPr>
      <w:r>
        <w:t xml:space="preserve">10. World Intellectual Property Organization (WIPO). Digital Rights Management and the Law.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2025-07-01T04:53:09.547Z</dcterms:created>
  <dcterms:modified xsi:type="dcterms:W3CDTF">2025-07-01T04:53:09.547Z</dcterms:modified>
</cp:coreProperties>
</file>

<file path=docProps/custom.xml><?xml version="1.0" encoding="utf-8"?>
<Properties xmlns="http://schemas.openxmlformats.org/officeDocument/2006/custom-properties" xmlns:vt="http://schemas.openxmlformats.org/officeDocument/2006/docPropsVTypes"/>
</file>