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навигационной дипломатии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международных отношений и дипломатии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международная политика характеризуется возрастающей ролью морских пространств как ключевых зон экономического, военного и стратегического взаимодействия государств. В условиях глобализации и усиления конкуренции за ресурсы, транспортные маршруты и зоны влияния особую значимость приобретает навигационная дипломатия — комплекс дипломатических практик, направленных на регулирование вопросов судоходства, безопасности морских коммуникаций и делимитации морских границ. Данная тема представляет собой междисциплинарную область исследований, находящуюся на стыке международного права, политологии и геополитики, что обусловливает её актуальность как для теоретического осмысления, так и для практического применения в рамках внешнеполитической деятельности государств.  
Исторически навигационная дипломатия формировалась параллельно с развитием мореплавания и международной торговли, однако её институционализация произошла лишь в XX веке с принятием ключевых международных соглашений, таких как Конвенция ООН по морскому праву (1982). Эти документы заложили правовые основы регулирования судоходства, использования исключительных экономических зон и континентального шельфа, а также механизмы разрешения споров между государствами. Вместе с тем динамика современных международных отношений, включая рост киберугроз, пиратства, климатические изменения и милитаризацию акваторий, требует переосмысления традиционных подходов к навигационной дипломатии.  
Целью данного реферата является анализ эволюции навигационной дипломатии как инструмента международного взаимодействия, выявление ключевых тенденций её развития и оценка перспектив адаптации существующих механизмов к новым вызовам. В работе рассматриваются исторические предпосылки становления навигационной дипломатии, её нормативно-правовая база, а также современные кейсы, демонстрирующие её роль в урегулировании конфликтов и обеспечении стабильности морских пространств. Особое внимание уделяется влиянию технологического прогресса, включая цифровизацию судоходства и использование искусственного интеллекта в навигации, на трансформацию дипломатических практик.  
Актуальность исследования обусловлена необходимостью поиска баланса между национальными интересами отдельных государств и коллективными усилиями по обеспечению свободы судоходства и безопасности морских путей. В условиях нарастания геополитической напряжённости, особенно в таких регионах, как Южно-Китайское море и Арктика, навигационная дипломатия становится критически важным инструментом предотвращения конфликтов и поддержания международного правопорядка. Таким образом, изучение её развития позволяет не только углубить понимание современных международных процессов, но и предложить рекомендации для дальнейшего совершенствования механизмов морского сотрудничества.</w:t>
      </w:r>
    </w:p>
    <w:p>
      <w:pPr>
        <w:pStyle w:val="Heading1"/>
        <w:pageBreakBefore/>
        <w:spacing w:line="360" w:before="0" w:after="0"/>
        <w:jc w:val="center"/>
      </w:pPr>
      <w:r>
        <w:t xml:space="preserve">ИСТОРИЧЕСКИЕ АСПЕКТЫ НАВИГАЦИОННОЙ ДИПЛОМАТИИ</w:t>
      </w:r>
    </w:p>
    <w:p>
      <w:pPr>
        <w:spacing w:line="360" w:before="0" w:after="0"/>
        <w:ind w:firstLine="720"/>
        <w:jc w:val="both"/>
      </w:pPr>
      <w:r>
        <w:t xml:space="preserve">Развитие навигационной дипломатии имеет глубокие исторические корни, уходящие в эпоху Великих географических открытий. Уже в XV–XVI веках морские державы, такие как Португалия и Испания, столкнулись с необходимостью регулирования морских путей и разграничения сфер влияния. Тордесильясский договор 1494 года стал первым международным соглашением, закрепившим раздел мира между двумя державами по меридиану, проходящему через Атлантический океан. Этот документ заложил основы навигационной дипломатии, демонстрируя, как политические решения могут влиять на морскую навигацию и колониальную экспансию.  
В XVII веке с ростом влияния Нидерландов и Великобритании навигационная дипломатия приобрела более сложный характер. Голландская Ост-Индская компания, обладая монополией на торговлю в Азии, активно использовала дипломатические инструменты для защиты своих судоходных маршрутов. Маре либериум (свобода морей), сформулированная Гуго Гроцием в 1609 году, стала ключевым принципом, обосновывающим право свободного судоходства в международных водах. Этот концепт лег в основу современного морского права и оказал значительное влияние на последующие дипломатические соглашения.  
XVIII–XIX века ознаменовались дальнейшей институционализацией навигационной дипломатии. Венский конгресс 1815 года, помимо решения территориальных вопросов, затронул регулирование судоходства по международным рекам, таким как Рейн и Дунай. Это стало прецедентом для многосторонних соглашений, направленных на обеспечение свободы торгового мореплавания. Парижская декларация 1856 года, принятая после Крымской войны, отменила каперство и установила правила нейтралитета в морских конфликтах, что способствовало стабилизации международного судоходства.  
XX век привнес новые вызовы и решения в сферу навигационной дипломатии. Создание Лиги Наций, а затем ООН способствовало разработке универсальных норм морского права. Женевские конвенции 1958 года и Конвенция ООН по морскому праву 1982 года систематизировали принципы судоходства, разграничили территориальные воды, исключительные экономические зоны и международные проливы. Эти документы стали правовой основой для разрешения споров, связанных с морскими границами и навигационными маршрутами, таких как конфликты в Южно-Китайском море или вокруг Северного морского пути.  
Таким образом, исторические аспекты навигационной дипломатии отражают эволюцию от двусторонних соглашений до многосторонних международных режимов. Каждый этап развития сопровождался усложнением правовых норм и расширением круга участников, что свидетельствует о возрастающей роли морского пространства в глобальной политике и экономике.</w:t>
      </w:r>
    </w:p>
    <w:p>
      <w:pPr>
        <w:pStyle w:val="Heading1"/>
        <w:pageBreakBefore/>
        <w:spacing w:line="360" w:before="0" w:after="0"/>
        <w:jc w:val="center"/>
      </w:pPr>
      <w:r>
        <w:t xml:space="preserve">СОВРЕМЕННЫЕ МЕЖДУНАРОДНЫЕ СОГЛАШЕНИЯ В ОБЛАСТИ НАВИГАЦИИ</w:t>
      </w:r>
    </w:p>
    <w:p>
      <w:pPr>
        <w:spacing w:line="360" w:before="0" w:after="0"/>
        <w:ind w:firstLine="720"/>
        <w:jc w:val="both"/>
      </w:pPr>
      <w:r>
        <w:t xml:space="preserve">формируют правовую основу для регулирования морского, воздушного и космического судоходства, обеспечивая безопасность, экологическую устойчивость и эффективность глобальных транспортных систем. Важнейшим документом, регламентирующим морскую навигацию, остается Конвенция Организации Объединенных Наций по морскому праву (ЮНКЛОС) 1982 года, которая закрепляет принципы свободы судоходства, исключительных экономических зон и прав прибрежных государств. В рамках ЮНКЛОС функционируют специализированные органы, такие как Международная морская организация (ИМО), ответственная за разработку технических стандартов, включая Международную конвенцию по охране человеческой жизни на море (СОЛАС) и Международные правила предупреждения столкновений судов (МППСС).  
В сфере воздушной навигации ключевую роль играет Чикагская конвенция 1944 года, учредившая Международную организацию гражданской авиации (ИКАО). Данный документ устанавливает принципы суверенитета воздушного пространства, стандарты аэронавигационного обслуживания и требования к безопасности полетов. Современные дополнения, такие как Глобальный аэронавигационный план (GANP), направлены на цифровизацию управления воздушным движением и внедрение спутниковых технологий, включая систему CNS/ATM (Связь, Навигация, Наблюдение / Управление воздушным движением).  
Космическая навигация регулируется рядом соглашений, среди которых выделяются Договор о космосе 1967 года и Конвенция о международной ответственности за ущерб, причиненный космическими объектами 1972 года. Эти документы закладывают основы для использования глобальных навигационных спутниковых систем (ГНСС), таких как GPS (США), ГЛОНАСС (Россия), Galileo (ЕС) и BeiDou (Китай). Международный комитет по ГНСС (ICG) координирует совместимость этих систем, минимизируя риски конфликтов в радиочастотном спектре.  
Особое значение приобретают региональные инициативы, такие как Европейская программа "Морской трафик без границ" (Sea Traffic Management), направленная на стандартизацию обмена данными между судами и береговыми службами. В Арктике действуют Полярный кодекс ИМО и Соглашение о сотрудничестве в авиационном и морском поиске и спасании, адаптирующие навигационные правила к условиям Крайнего Севера.  
Экологические аспекты навигации отражены в Международной конвенции по предотвращению загрязнения с судов (МАРПОЛ), устанавливающей ограничения на выбросы серы и азота, а также в Парижском соглашении по климату, стимулирующем переход на альтернативные виды топлива. Таким образом, современные международные соглашения в области навигации представляют собой динамичную систему, адаптирующуюся к технологическим вызовам и геополитическим изменениям.</w:t>
      </w:r>
    </w:p>
    <w:p>
      <w:pPr>
        <w:pStyle w:val="Heading1"/>
        <w:pageBreakBefore/>
        <w:spacing w:line="360" w:before="0" w:after="0"/>
        <w:jc w:val="center"/>
      </w:pPr>
      <w:r>
        <w:t xml:space="preserve">РОЛЬ ТЕХНОЛОГИЧЕСКИХ ИННОВАЦИЙ В РАЗВИТИИ НАВИГАЦИОННОЙ ДИПЛОМАТИИ</w:t>
      </w:r>
    </w:p>
    <w:p>
      <w:pPr>
        <w:spacing w:line="360" w:before="0" w:after="0"/>
        <w:ind w:firstLine="720"/>
        <w:jc w:val="both"/>
      </w:pPr>
      <w:r>
        <w:t xml:space="preserve">Технологические инновации играют ключевую роль в трансформации навигационной дипломатии, выступая катализатором её эволюции в условиях глобализации и цифровизации международных отношений. Развитие спутниковых систем, таких как GPS, ГЛОНАСС, Galileo и BeiDou, существенно расширило возможности государств в области контроля над морскими и воздушными пространствами, а также способствовало формированию новых форматов межгосударственного взаимодействия. Внедрение высокоточных навигационных технологий не только повысило эффективность логистики и безопасности транспорта, но и стало инструментом геополитического влияния, поскольку доступ к передовым навигационным системам определяет уровень технологического суверенитета государства.  
Важным аспектом технологического прогресса является стандартизация навигационных данных, которая требует международной кооперации. Разработка единых протоколов обмена информацией между разными спутниковыми системами способствует снижению рисков конфликтов, связанных с несовместимостью технологий. Например, соглашения о взаимодополняемости GPS и Galileo демонстрируют, как технологическая интеграция может служить основой для дипломатического сотрудничества. В то же время конкуренция за доминирование в сфере навигационных технологий, особенно между США, Китаем и Россией, подчеркивает двойственную природу инноваций: они могут как объединять, так и разделять государства в зависимости от их стратегических интересов.  
Особого внимания заслуживает влияние искусственного интеллекта и больших данных на навигационную дипломатию. Автоматизированные системы анализа морских и воздушных трасс позволяют оптимизировать маршруты, минимизировать экологические риски и предотвращать конфликты в зонах повышенной напряженности. Однако использование этих технологий также порождает вопросы, связанные с кибербезопасностью и защитой данных, что требует разработки новых международных норм. Например, вопросы юрисдикции над данными, собираемыми автономными судами или дронами, становятся предметом дипломатических переговоров, поскольку затрагивают вопросы национальной безопасности и экономических интересов.  
Таким образом, технологические инновации не только расширяют функциональные возможности навигационной дипломатии, но и усложняют её архитектуру, требуя от государств гибкости в выстраивании международных отношений. Будущее этой сферы будет определяться способностью стран балансировать между конкуренцией за технологическое лидерство и необходимостью сотрудничества для обеспечения глобальной стабильности.</w:t>
      </w:r>
    </w:p>
    <w:p>
      <w:pPr>
        <w:pStyle w:val="Heading1"/>
        <w:pageBreakBefore/>
        <w:spacing w:line="360" w:before="0" w:after="0"/>
        <w:jc w:val="center"/>
      </w:pPr>
      <w:r>
        <w:t xml:space="preserve">ПЕРСПЕКТИВЫ И ВЫЗОВЫ НАВИГАЦИОННОЙ ДИПЛОМАТИИ В XXI ВЕКЕ</w:t>
      </w:r>
    </w:p>
    <w:p>
      <w:pPr>
        <w:spacing w:line="360" w:before="0" w:after="0"/>
        <w:ind w:firstLine="720"/>
        <w:jc w:val="both"/>
      </w:pPr>
      <w:r>
        <w:t xml:space="preserve">Развитие навигационной дипломатии в XXI веке сталкивается с рядом перспектив и вызовов, обусловленных динамикой международных отношений, технологическим прогрессом и изменением геополитического ландшафта. Одним из ключевых факторов, определяющих будущее данной сферы, является усиление конкуренции за контроль над стратегически важными морскими путями, такими как Малаккский пролив, Суэцкий канал и Северный морской путь. Эти артерии играют критическую роль в глобальной торговле, что делает их объектом повышенного внимания со стороны ведущих держав, включая США, Китай и Россию. В условиях роста экономического и военного присутствия Китая в Индо-Тихоокеанском регионе, а также активизации России в Арктике, навигационная дипломатия приобретает новые измерения, связанные с балансированием между сотрудничеством и соперничеством.  
Технологические инновации, такие как автоматизация судоходства, внедрение искусственного интеллекта в системы управления морским транспортом и развитие спутниковых навигационных систем, создают новые возможности для повышения эффективности и безопасности мореплавания. Однако они же порождают риски, связанные с кибербезопасностью и зависимостью от ограниченного числа технологических платформ. Например, доминирование GPS (США), ГЛОНАСС (Россия), BeiDou (Китай) и Galileo (ЕС) в сфере спутниковой навигации может стать инструментом политического давления в условиях эскалации международных конфликтов.  
Климатические изменения также оказывают значительное влияние на навигационную дипломатию. Таяние арктических льдов открывает новые маршруты, что ведет к пересмотру правовых режимов, установленных Конвенцией ООН по морскому праву (UNCLOS). Усиление активности в Арктике требует выработки новых международных соглашений, регулирующих вопросы судоходства, экологической безопасности и делимитации континентального шельфа. Параллельно рост частоты экстремальных погодных явлений повышает риски для судоходства, что актуализирует вопросы международного сотрудничества в области прогнозирования и предотвращения катастроф.  
Еще одним вызовом остается проблема пиратства и незаконного судоходства, особенно в регионах с нестабильной политической обстановкой, таких как Аденский залив и Гвинейский залив. Несмотря на усилия международных коалиций, включая операции NATO и EUNAVFOR, сохраняется необходимость в более эффективных механизмах координации между государствами и частными акторами. В этом контексте навигационная дипломатия должна учитывать интересы прибрежных стран, которые зачастую обладают ограниченными ресурсами для обеспечения безопасности в своих территориальных водах.  
Таким образом, перспективы навигационной дипломатии в XXI веке связаны с необходимостью адаптации к быстро меняющимся технологическим, экологическим и политическим реалиям. Успешное развитие этой сферы требует укрепления многосторонних институтов, таких как Международная морская организация (IMO), а также гибкости в выстраивании двусторонних и региональных форматов сотрудничества. В противном случае рост напряженности вокруг ключевых морских маршрутов может стать источником новых конфликтов, подрывающих стабильность глобальной экономики.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навигационной дипломатии представляет собой сложный и многогранный процесс, обусловленный как технологическим прогрессом, так и геополитическими изменениями. Современные вызовы, включая рост конкуренции в Арктике, активизацию морских маршрутов в Индо-Тихоокеанском регионе и усиление роли цифровых технологий в судоходстве, требуют от государств гибких и скоординированных дипломатических подходов. Навигационная дипломатия, выступая инструментом регулирования морских пространств, способствует не только обеспечению безопасности и устойчивости судоходства, но и укреплению международного сотрудничества.  
Анализ современных тенденций демонстрирует, что ключевыми факторами успешной навигационной дипломатии являются: соблюдение норм международного морского права, развитие многосторонних институтов, таких как Международная морская организация (ИМО), а также учет интересов всех заинтересованных сторон. Особое значение приобретают вопросы экологической безопасности и климатической адаптации, что подчеркивает необходимость интеграции экологических стандартов в морскую политику.  
Перспективы дальнейшего развития навигационной дипломатии связаны с цифровизацией морской инфраструктуры, внедрением автономного судоходства и усилением роли региональных организаций. Однако успех этих процессов зависит от способности государств находить баланс между национальными интересами и глобальными вызовами. Таким образом, навигационная дипломатия остается важным элементом современной международной системы, требующим постоянного совершенствования и адаптации к изменяющимся условиям.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James Kraska. Maritime Power and the Law of the Sea: Expeditionary Operations in World Politics. 2011 (book)</w:t>
      </w:r>
    </w:p>
    <w:p>
      <w:pPr>
        <w:spacing w:line="360" w:before="0" w:after="0"/>
        <w:ind w:firstLine="720"/>
        <w:jc w:val="both"/>
      </w:pPr>
      <w:r>
        <w:t xml:space="preserve">2. Sam Bateman. Navigational regimes and regional cooperation in the Asia-Pacific. 2010 (article)</w:t>
      </w:r>
    </w:p>
    <w:p>
      <w:pPr>
        <w:spacing w:line="360" w:before="0" w:after="0"/>
        <w:ind w:firstLine="720"/>
        <w:jc w:val="both"/>
      </w:pPr>
      <w:r>
        <w:t xml:space="preserve">3. Donald R. Rothwell, Tim Stephens. The International Law of the Sea. 2016 (book)</w:t>
      </w:r>
    </w:p>
    <w:p>
      <w:pPr>
        <w:spacing w:line="360" w:before="0" w:after="0"/>
        <w:ind w:firstLine="720"/>
        <w:jc w:val="both"/>
      </w:pPr>
      <w:r>
        <w:t xml:space="preserve">4. Robert C. Beckman, J. Ashley Roach. Piracy and Armed Robbery against Ships in Southeast Asia: The Way Forward. 2019 (article)</w:t>
      </w:r>
    </w:p>
    <w:p>
      <w:pPr>
        <w:spacing w:line="360" w:before="0" w:after="0"/>
        <w:ind w:firstLine="720"/>
        <w:jc w:val="both"/>
      </w:pPr>
      <w:r>
        <w:t xml:space="preserve">5. Stuart Kaye. Freedom of Navigation in the Indo-Pacific Region. 2018 (article)</w:t>
      </w:r>
    </w:p>
    <w:p>
      <w:pPr>
        <w:spacing w:line="360" w:before="0" w:after="0"/>
        <w:ind w:firstLine="720"/>
        <w:jc w:val="both"/>
      </w:pPr>
      <w:r>
        <w:t xml:space="preserve">6. United Nations Division for Ocean Affairs and the Law of the Sea (DOALOS). Navigational Rights and Freedoms. 2020 (internet-resource)</w:t>
      </w:r>
    </w:p>
    <w:p>
      <w:pPr>
        <w:spacing w:line="360" w:before="0" w:after="0"/>
        <w:ind w:firstLine="720"/>
        <w:jc w:val="both"/>
      </w:pPr>
      <w:r>
        <w:t xml:space="preserve">7. Rüdiger Wolfrum. The Max Planck Encyclopedia of Public International Law: Navigation, Freedom of. 2012 (internet-resource)</w:t>
      </w:r>
    </w:p>
    <w:p>
      <w:pPr>
        <w:spacing w:line="360" w:before="0" w:after="0"/>
        <w:ind w:firstLine="720"/>
        <w:jc w:val="both"/>
      </w:pPr>
      <w:r>
        <w:t xml:space="preserve">8. Mark J. Valencia. The South China Sea: Hydrocarbon Potential and Possibilities of Joint Development. 2011 (book)</w:t>
      </w:r>
    </w:p>
    <w:p>
      <w:pPr>
        <w:spacing w:line="360" w:before="0" w:after="0"/>
        <w:ind w:firstLine="720"/>
        <w:jc w:val="both"/>
      </w:pPr>
      <w:r>
        <w:t xml:space="preserve">9. David D. Caron, Harry N. Scheiber. The Oceans in the Nuclear Age: Legacies and Risks. 2010 (book)</w:t>
      </w:r>
    </w:p>
    <w:p>
      <w:pPr>
        <w:spacing w:line="360" w:before="0" w:after="0"/>
        <w:ind w:firstLine="720"/>
        <w:jc w:val="both"/>
      </w:pPr>
      <w:r>
        <w:t xml:space="preserve">10. International Maritime Organization (IMO). Guidelines for the Prevention and Suppression of Piracy and Armed Robbery against Ships. 2021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2025-07-03T09:58:23.498Z</dcterms:created>
  <dcterms:modified xsi:type="dcterms:W3CDTF">2025-07-03T09:58:23.498Z</dcterms:modified>
</cp:coreProperties>
</file>

<file path=docProps/custom.xml><?xml version="1.0" encoding="utf-8"?>
<Properties xmlns="http://schemas.openxmlformats.org/officeDocument/2006/custom-properties" xmlns:vt="http://schemas.openxmlformats.org/officeDocument/2006/docPropsVTypes"/>
</file>