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компьютерной политики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государственной и муниципальной информационной политики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общество находится в условиях стремительной цифровизации, что обусловливает необходимость формирования эффективной компьютерной политики как ключевого элемента государственного управления и международного взаимодействия. Компьютерная политика, понимаемая как совокупность правовых, организационных и технологических мер, направленных на регулирование информационных технологий, защиты данных и кибербезопасности, прошла сложный путь эволюции, отражающий изменения технологического ландшафта и социально-политических реалий. Изучение истории её развития позволяет не только проследить трансформацию подходов к управлению цифровыми ресурсами, но и выявить закономерности, влияющие на современные стратегии в данной сфере.  
Начальный этап становления компьютерной политики связан с появлением первых вычислительных машин в середине XX века, когда вопросы регулирования ограничивались преимущественно техническими стандартами и использованием ЭВМ в военных и научных целях. Однако с распространением персональных компьютеров и возникновением глобальных сетей в 1980–1990-х годах возникла потребность в системном правовом регулировании, что привело к формированию первых концепций киберполитики. Важным этапом стало принятие международных соглашений, таких как Будапештская конвенция о киберпреступности (2001), заложившей основы межгосударственного сотрудничества в этой области.  
В XXI веке развитие компьютерной политики приобрело особую актуальность в связи с ростом киберугроз, распространением искусственного интеллекта и больших данных. Государства столкнулись с необходимостью балансировать между обеспечением безопасности, защитой приватности и стимулированием инноваций. При этом различия в национальных подходах, например, между либеральной моделью США и жёстким регулированием в Китае, демонстрируют отсутствие универсальных решений. Анализ исторической динамики позволяет сделать вывод о том, что компьютерная политика является не статичным явлением, а динамичным процессом, адаптирующимся к вызовам технологического прогресса.  
Таким образом, исследование истории развития компьютерной политики представляет собой междисциплинарную задачу, требующую учёта технологических, правовых и политических аспектов. Данная работа направлена на систематизацию ключевых этапов её эволюции, выявление факторов, определявших изменения в регулировании, и оценку их влияния на современные практики. Результаты исследования могут послужить основой для дальнейшего прогнозирования тенденций в области цифрового управления и разработки более эффективных механизмов регулирования.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КОМПЬЮТЕРНОЙ ПОЛИТИКИ В XX ВЕКЕ</w:t>
      </w:r>
    </w:p>
    <w:p>
      <w:pPr>
        <w:spacing w:line="360" w:before="0" w:after="0"/>
        <w:ind w:firstLine="720"/>
        <w:jc w:val="both"/>
      </w:pPr>
      <w:r>
        <w:t xml:space="preserve">Развитие компьютерной политики в XX веке представляет собой сложный и многогранный процесс, обусловленный технологическими, социальными и геополитическими факторами. Первые шаги в формировании политики, связанной с вычислительной техникой, были предприняты в середине столетия, когда компьютеры перестали быть исключительно военным инструментом и начали проникать в гражданские сферы. В 1940–1950-х годах правительства ведущих держав, прежде всего США и СССР, осознали стратегическую важность вычислительных технологий, что привело к созданию государственных программ финансирования исследований и разработок. В США это выразилось в инициативах, таких как ARPANET, заложившая основы современного интернета, а в СССР — в масштабных проектах по созданию вычислительных центров для нужд науки и промышленности.  
К 1960-м годам компьютерная политика стала включать вопросы регулирования доступа к информации и защиты данных. Появление первых коммерческих ЭВМ потребовало разработки правовых норм, регулирующих их использование. В этот период начали формироваться основы кибербезопасности, хотя сам термин ещё не вошёл в широкий обиход. Государства столкнулись с необходимостью балансировать между открытостью технологий и защитой национальных интересов. В США был принят ряд законов, ограничивающих экспорт вычислительной техники в страны соцлагеря, что отражало напряжённость холодной войны.  
1970–1980-е годы ознаменовались переходом к персональным компьютерам, что кардинально изменило подходы к компьютерной политике. Массовая компьютеризация населения потребовала новых законодательных инициатив, направленных на защиту авторских прав, приватности пользователей и борьбу с компьютерными преступлениями. В 1984 году в США был принят Закон о компьютерном мошенничестве и злоупотреблениях (CFAA), ставший одним из первых нормативных актов, криминализирующих киберпреступность. Параллельно в Европе началась работа над гармонизацией законодательства в сфере информационных технологий, что впоследствии привело к созданию директив ЕС по защите данных.  
Конец XX века ознаменовался глобализацией компьютерной политики. Распространение интернета потребовало международного сотрудничества в вопросах регулирования цифрового пространства. В 1996 году была принята Декларация о независимости киберпространства, отражавшая либертарианские взгляды на свободу интернета, однако государства продолжали усиливать контроль над цифровыми коммуникациями. В этот период сформировались ключевые принципы современной компьютерной политики, включая вопросы сетевого нейтралитета, защиты интеллектуальной собственности и противодействия кибертерроризму. Таким образом, к началу XXI века компьютерная политика превратилась в самостоятельную область государственного регулирования, сочетающую технологические инновации с правовыми и этическими вызовами.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ЗАКОНОДАТЕЛЬНЫЕ АКТЫ В ОБЛАСТИ КОМПЬЮТЕРНОЙ ПОЛИТИКИ</w:t>
      </w:r>
    </w:p>
    <w:p>
      <w:pPr>
        <w:spacing w:line="360" w:before="0" w:after="0"/>
        <w:ind w:firstLine="720"/>
        <w:jc w:val="both"/>
      </w:pPr>
      <w:r>
        <w:t xml:space="preserve">Развитие компьютерной политики сопровождалось формированием нормативно-правовой базы, регулирующей вопросы информационной безопасности, защиты персональных данных, авторских прав и цифровых технологий. Первым значимым законодательным актом в этой области стал Закон США о компьютерном мошенничестве и злоупотреблениях (Computer Fraud and Abuse Act, CFAA), принятый в 1986 году. Данный документ установил правовые рамки для противодействия несанкционированному доступу к компьютерным системам, что стало основой для дальнейшего регулирования киберпреступности. В Европе аналогичные инициативы были реализованы позднее, в частности, в Директиве ЕС о правовой охране компьютерных программ (91/250/EEC), закрепившей авторские права на программное обеспечение.  
Важным этапом стало принятие в 1996 году Закона США о телекоммуникациях (Telecommunications Act), который затронул вопросы цифровой экономики и интернет-регулирования. Однако наиболее комплексным документом в области защиты персональных данных явилась Директива ЕС о защите данных (95/46/EC), заложившая принципы обработки информации и права субъектов данных. Эти нормы были развиты в Общем регламенте по защите данных (GDPR, 2016), который установил строгие требования к компаниям, работающим с персональными данными граждан ЕС.  
В России ключевым законодательным актом стал Федеральный закон «Об информации, информационных технологиях и о защите информации» (№149-ФЗ, 2006), определивший правовые основы оборота цифровых данных. Дополнительно был принят Федеральный закон «О персональных данных» (№152-ФЗ, 2006), гармонизированный с международными стандартами. В 2019 году вступил в силу Федеральный закон «О sovereign Рунете» (№90-ФЗ), направленный на обеспечение устойчивости интернет-инфраструктуры в условиях внешних угроз.  
Особое внимание уделяется регулированию искусственного интеллекта и больших данных. В 2021 году Европейская комиссия представила проект Регламента об искусственном интеллекте (AI Act), классифицирующий ИИ-системы по уровню риска и устанавливающий требования к их разработке. Аналогичные инициативы обсуждаются в США (Algorithmic Accountability Act, 2022) и Китае (Положения об управлении алгоритмическими рекомендациями, 2022). Таким образом, современная компьютерная политика формируется под влиянием международных и национальных законодательных актов, направленных на баланс между инновациями и защитой прав граждан.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ТЕХНОЛОГИЧЕСКИХ ПРОРЫВОВ НА КОМПЬЮТЕРНУЮ ПОЛИТИКУ</w:t>
      </w:r>
    </w:p>
    <w:p>
      <w:pPr>
        <w:spacing w:line="360" w:before="0" w:after="0"/>
        <w:ind w:firstLine="720"/>
        <w:jc w:val="both"/>
      </w:pPr>
      <w:r>
        <w:t xml:space="preserve">Технологические прорывы на протяжении истории оказывали решающее воздействие на формирование и эволюцию компьютерной политики, определяя её ключевые направления, принципы и механизмы регулирования. С момента появления первых вычислительных машин в середине XX века до современных цифровых экосистем каждое значимое технологическое достижение влекло за собой необходимость пересмотра политических и правовых норм, регулирующих информационное пространство.  
Первым этапом, оказавшим влияние на компьютерную политику, стало создание мейнфреймов и развитие сетевых технологий в 1960–1970-х годах. Появление централизованных вычислительных систем потребовало разработки первых стандартов информационной безопасности и защиты данных, что привело к формированию базовых принципов кибербезопасности. В этот период правительства ведущих стран начали осознавать стратегическую важность контроля над информационными ресурсами, что выразилось в создании специализированных государственных программ и нормативных актов, регулирующих доступ к вычислительным мощностям.  
Следующим переломным моментом стала массовая компьютеризация и распространение персональных компьютеров в 1980-х годах. Децентрализация вычислительных мощностей поставила перед законодателями новые вызовы, связанные с защитой персональных данных, авторским правом на программное обеспечение и предотвращением компьютерных преступлений. В ответ на эти вызовы были приняты такие ключевые документы, как Закон США о компьютерном мошенничестве и злоупотреблениях (1986), а также первые директивы Европейского сообщества, заложившие основы трансграничного регулирования цифровых технологий.  
Развитие интернета в 1990-х годах кардинально изменило подходы к компьютерной политике, сделав её глобальной и междисциплинарной. Технологии TCP/IP, гипертекста и криптографии потребовали переосмысления традиционных механизмов регулирования, что привело к появлению новых концепций, таких как сетевой нейтралитет, цифровой суверенитет и киберправосудие. В этот период сформировались международные организации, ответственные за координацию интернет-управления (ICANN, IETF), а также были заложены основы современного законодательства в области электронной коммерции и защиты приватности.  
В XXI веке стремительное развитие облачных вычислений, искусственного интеллекта и блокчейна поставило перед компьютерной политикой новые сложные вопросы. Автоматизация процессов обработки данных потребовала разработки этических и правовых рамок использования ИИ, что отразилось в таких документах, как Общий регламент по защите данных (GDPR) в ЕС и Национальная стратегия США по искусственному интеллекту. Одновременно распространение децентрализованных технологий, таких как криптовалюты, вызвало дискуссии о необходимости адаптации традиционных финансовых регуляций к цифровой эпохе.  
Таким образом, каждый технологический прорыв не только расширял функциональные возможности вычислительных систем, но и стимулировал развитие новых политико-правовых механизмов, направленных на балансирование между инновациями, безопасностью и правами граждан. Эволюция компьютерной политики демонстрирует тесную взаимосвязь между технологическим прогрессом и необходимостью адаптации регуляторных подходов, что остаётся актуальным вызовом для современных государств и международных институтов.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ВЫЗОВЫ В КОМПЬЮТЕРНОЙ ПОЛИТИКЕ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компьютерной политики характеризуется стремительной трансформацией технологических, правовых и социальных аспектов цифрового пространства. Одной из ключевых тенденций является усиление роли государственного регулирования в сфере информационных технологий, обусловленное необходимостью обеспечения кибербезопасности, защиты персональных данных и противодействия цифровым угрозам. В условиях глобализации и роста киберпреступности многие страны разрабатывают национальные стратегии кибербезопасности, направленные на создание устойчивых инфраструктур и формирование международных коалиций для борьбы с кибератаками.  
Важным вызовом остается баланс между безопасностью и свободой в интернете. Введение жестких мер контроля, таких как цензура или массовый мониторинг, вызывает дискуссии о допустимости ограничений цифровых прав граждан. В то же время распространение дезинформации и манипулятивных технологий требует разработки эффективных механизмов регулирования контента без ущемления свободы слова. Особую актуальность приобретают вопросы этики искусственного интеллекта, поскольку его внедрение в государственное управление и частный сектор ставит проблему ответственности за алгоритмические решения.  
Еще одной значимой тенденцией является цифровой суверенитет, под которым понимается стремление государств к технологической независимости. Это проявляется в развитии национальных IT-экосистем, включая собственные операционные системы, облачные платформы и системы шифрования. Однако подобные инициативы сталкиваются с техническими и экономическими сложностями, такими как зависимость от глобальных цепочек поставок и недостаток квалифицированных кадров.  
Рост влияния крупных технологических корпораций также формирует новые вызовы для компьютерной политики. Монополизация цифровых рынков приводит к концентрации данных и власти в руках ограниченного числа игроков, что требует пересмотра антимонопольного законодательства и усиления контроля за деятельностью IT-гигантов. Параллельно развиваются концепции децентрализации, включая блокчейн-технологии, которые предлагают альтернативные модели управления данными и снижают риски цензуры.  
Климатическая повестка также оказывает влияние на компьютерную политику, поскольку энергопотребление дата-центров и майнинговых ферм становится предметом экологических дискуссий. Внедрение "зеленых" технологий и переход на возобновляемые источники энергии становятся обязательными элементами стратегий устойчивого развития IT-сектора.  
Таким образом, современные тенденции в компьютерной политике отражают сложный комплекс технологических, правовых и социальных факторов. Решение возникающих вызовов требует междисциплинарного подхода, международного сотрудничества и постоянной адаптации нормативных框架 к динамично меняющейся цифровой среде.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компьютерной политики представляет собой сложный и многогранный процесс, отражающий эволюцию технологий, правовых норм и социальных институтов. Начиная с первых попыток регулирования вычислительных систем в середине XX века и заканчивая современными вызовами, связанными с цифровой трансформацией, кибербезопасностью и искусственным интеллектом, компьютерная политика прошла через ряд ключевых этапов, каждый из которых вносил значительные коррективы в её содержание и механизмы реализации.  
Анализ исторического развития данной сферы демонстрирует, что формирование компьютерной политики всегда было тесно связано с технологическим прогрессом, экономическими интересами и геополитическими факторами. Так, в 1970–1980-х годах основное внимание уделялось вопросам стандартизации и защиты данных, тогда как в 1990-е годы на первый план вышли проблемы регулирования интернета и цифровых коммуникаций. В XXI веке акцент сместился на борьбу с киберпреступностью, обеспечение цифрового суверенитета и разработку этических рамок для новых технологий, таких как большие данные и машинное обучение.  
Важным аспектом является также международное сотрудничество в области компьютерной политики, поскольку глобальный характер цифрового пространства требует согласованных действий на межгосударственном уровне. Однако различия в правовых системах, экономических приоритетах и культурных традициях продолжают создавать барьеры для выработки универсальных решений.  
Таким образом, история компьютерной политики свидетельствует о её динамичном характере и необходимости постоянной адаптации к новым технологическим и социальным реалиям. Дальнейшее развитие этой области будет зависеть от способности государств, корпораций и гражданского общества находить баланс между инновациями, безопасностью и защитой прав человека в цифровую эпоху. Перспективы исследований в данной сфере связаны с углублённым изучением влияния искусственного интеллекта на политические процессы, а также с разработкой эффективных механизмов международного регулирования киберпространства.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Edwards, Paul N.. The Closed World: Computers and the Politics of Discourse in Cold War America. 1996 (book)</w:t>
      </w:r>
    </w:p>
    <w:p>
      <w:pPr>
        <w:spacing w:line="360" w:before="0" w:after="0"/>
        <w:ind w:firstLine="720"/>
        <w:jc w:val="both"/>
      </w:pPr>
      <w:r>
        <w:t xml:space="preserve">2. Abbate, Janet. Inventing the Internet. 1999 (book)</w:t>
      </w:r>
    </w:p>
    <w:p>
      <w:pPr>
        <w:spacing w:line="360" w:before="0" w:after="0"/>
        <w:ind w:firstLine="720"/>
        <w:jc w:val="both"/>
      </w:pPr>
      <w:r>
        <w:t xml:space="preserve">3. Benkler, Yochai. The Wealth of Networks: How Social Production Transforms Markets and Freedom. 2006 (book)</w:t>
      </w:r>
    </w:p>
    <w:p>
      <w:pPr>
        <w:spacing w:line="360" w:before="0" w:after="0"/>
        <w:ind w:firstLine="720"/>
        <w:jc w:val="both"/>
      </w:pPr>
      <w:r>
        <w:t xml:space="preserve">4. DeNardis, Laura. The Global War for Internet Governance. 2014 (book)</w:t>
      </w:r>
    </w:p>
    <w:p>
      <w:pPr>
        <w:spacing w:line="360" w:before="0" w:after="0"/>
        <w:ind w:firstLine="720"/>
        <w:jc w:val="both"/>
      </w:pPr>
      <w:r>
        <w:t xml:space="preserve">5. Lessig, Lawrence. Code and Other Laws of Cyberspace. 1999 (book)</w:t>
      </w:r>
    </w:p>
    <w:p>
      <w:pPr>
        <w:spacing w:line="360" w:before="0" w:after="0"/>
        <w:ind w:firstLine="720"/>
        <w:jc w:val="both"/>
      </w:pPr>
      <w:r>
        <w:t xml:space="preserve">6. Mueller, Milton L.. Networks and States: The Global Politics of Internet Governance. 2010 (book)</w:t>
      </w:r>
    </w:p>
    <w:p>
      <w:pPr>
        <w:spacing w:line="360" w:before="0" w:after="0"/>
        <w:ind w:firstLine="720"/>
        <w:jc w:val="both"/>
      </w:pPr>
      <w:r>
        <w:t xml:space="preserve">7. Goldsmith, Jack; Wu, Tim. Who Controls the Internet? Illusions of a Borderless World. 2006 (book)</w:t>
      </w:r>
    </w:p>
    <w:p>
      <w:pPr>
        <w:spacing w:line="360" w:before="0" w:after="0"/>
        <w:ind w:firstLine="720"/>
        <w:jc w:val="both"/>
      </w:pPr>
      <w:r>
        <w:t xml:space="preserve">8. Zittrain, Jonathan. The Future of the Internet — And How to Stop It. 2008 (book)</w:t>
      </w:r>
    </w:p>
    <w:p>
      <w:pPr>
        <w:spacing w:line="360" w:before="0" w:after="0"/>
        <w:ind w:firstLine="720"/>
        <w:jc w:val="both"/>
      </w:pPr>
      <w:r>
        <w:t xml:space="preserve">9. Braman, Sandra. Change of State: Information, Policy, and Power. 2006 (book)</w:t>
      </w:r>
    </w:p>
    <w:p>
      <w:pPr>
        <w:spacing w:line="360" w:before="0" w:after="0"/>
        <w:ind w:firstLine="720"/>
        <w:jc w:val="both"/>
      </w:pPr>
      <w:r>
        <w:t xml:space="preserve">10. Ceruzzi, Paul E.. Computing: A Concise History. 2012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2025-07-01T04:49:50.295Z</dcterms:created>
  <dcterms:modified xsi:type="dcterms:W3CDTF">2025-07-01T04:49:50.295Z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